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6958A">
      <w:pPr>
        <w:pStyle w:val="2"/>
        <w:rPr>
          <w:rFonts w:hint="eastAsia"/>
        </w:rPr>
      </w:pPr>
      <w:bookmarkStart w:id="0" w:name="_Toc20910"/>
      <w:bookmarkStart w:id="1" w:name="_Toc14934"/>
      <w:bookmarkStart w:id="2" w:name="_Toc32529"/>
      <w:bookmarkStart w:id="3" w:name="_Toc31671"/>
      <w:bookmarkStart w:id="4" w:name="_Toc17796"/>
      <w:bookmarkStart w:id="5" w:name="_Toc1516"/>
      <w:bookmarkStart w:id="6" w:name="_Toc32730"/>
      <w:bookmarkStart w:id="7" w:name="_Toc12577"/>
      <w:r>
        <w:rPr>
          <w:rFonts w:hint="eastAsia"/>
        </w:rPr>
        <w:t>安徽电气工程职业技术学院</w:t>
      </w:r>
      <w:bookmarkEnd w:id="0"/>
      <w:bookmarkEnd w:id="1"/>
      <w:bookmarkEnd w:id="2"/>
      <w:bookmarkEnd w:id="3"/>
      <w:bookmarkEnd w:id="4"/>
      <w:bookmarkEnd w:id="5"/>
      <w:bookmarkEnd w:id="6"/>
      <w:bookmarkEnd w:id="7"/>
    </w:p>
    <w:p w14:paraId="39B950C0">
      <w:pPr>
        <w:pStyle w:val="2"/>
        <w:rPr>
          <w:rFonts w:hint="eastAsia"/>
        </w:rPr>
      </w:pPr>
      <w:bookmarkStart w:id="8" w:name="_Toc11980"/>
      <w:bookmarkStart w:id="9" w:name="_Toc9859"/>
      <w:bookmarkStart w:id="10" w:name="_Toc12980"/>
      <w:bookmarkStart w:id="11" w:name="_Toc20453"/>
      <w:bookmarkStart w:id="12" w:name="_Toc24453"/>
      <w:bookmarkStart w:id="13" w:name="_Toc18301"/>
      <w:bookmarkStart w:id="14" w:name="_Toc24543"/>
      <w:bookmarkStart w:id="15" w:name="_Toc32184"/>
      <w:r>
        <w:rPr>
          <w:rFonts w:hint="eastAsia"/>
        </w:rPr>
        <w:t>就业创业工作管理规定（修订）</w:t>
      </w:r>
      <w:bookmarkEnd w:id="8"/>
      <w:bookmarkEnd w:id="9"/>
      <w:bookmarkEnd w:id="10"/>
      <w:bookmarkEnd w:id="11"/>
      <w:bookmarkEnd w:id="12"/>
      <w:bookmarkEnd w:id="13"/>
      <w:bookmarkEnd w:id="14"/>
      <w:bookmarkEnd w:id="15"/>
    </w:p>
    <w:p w14:paraId="1568D535">
      <w:pPr>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44CEE31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根据国务院办公厅《关于进一步做好高校毕业生等青年就业创业工作的通知》（国办发〔2022〕13号）精神和教育部《普通高等学校毕业生就业工作暂行规定》以及安徽省毕业生就业有关文件规定，结合学院实际，特制定本规定。</w:t>
      </w:r>
    </w:p>
    <w:p w14:paraId="0F60580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rPr>
        <w:tab/>
      </w:r>
    </w:p>
    <w:p w14:paraId="05BE48EF">
      <w:pPr>
        <w:pStyle w:val="3"/>
        <w:outlineLvl w:val="0"/>
        <w:rPr>
          <w:rFonts w:hint="eastAsia"/>
        </w:rPr>
      </w:pPr>
      <w:bookmarkStart w:id="16" w:name="_Toc11737"/>
      <w:bookmarkStart w:id="17" w:name="_Toc32618"/>
      <w:bookmarkStart w:id="18" w:name="_Toc11524"/>
      <w:bookmarkStart w:id="19" w:name="_Toc27650"/>
      <w:bookmarkStart w:id="20" w:name="_Toc21545"/>
      <w:bookmarkStart w:id="21" w:name="_Toc9092"/>
      <w:bookmarkStart w:id="22" w:name="_Toc31837"/>
      <w:r>
        <w:rPr>
          <w:rFonts w:hint="eastAsia"/>
        </w:rPr>
        <w:t xml:space="preserve">第一章 </w:t>
      </w:r>
      <w:r>
        <w:rPr>
          <w:rFonts w:hint="eastAsia"/>
          <w:lang w:val="en-US" w:eastAsia="zh-CN"/>
        </w:rPr>
        <w:t xml:space="preserve"> </w:t>
      </w:r>
      <w:r>
        <w:rPr>
          <w:rFonts w:hint="eastAsia"/>
        </w:rPr>
        <w:t>指导思想</w:t>
      </w:r>
      <w:bookmarkEnd w:id="16"/>
      <w:bookmarkEnd w:id="17"/>
      <w:bookmarkEnd w:id="18"/>
      <w:bookmarkEnd w:id="19"/>
      <w:bookmarkEnd w:id="20"/>
      <w:bookmarkEnd w:id="21"/>
      <w:bookmarkEnd w:id="22"/>
    </w:p>
    <w:p w14:paraId="59035166">
      <w:pPr>
        <w:rPr>
          <w:rFonts w:hint="eastAsia"/>
        </w:rPr>
      </w:pPr>
    </w:p>
    <w:p w14:paraId="6D4E6B1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第一条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党的二十大报告指出：“就业是最基本的民生。”要“强化就业优先政策，健全就业促进机制，促进高质量充分就业”。学院加强就业指导，建立和完善集教育、管理、指导、咨询、服务为一体的毕业生就业创业工作体系，确保毕业生高质量充分就业。</w:t>
      </w:r>
    </w:p>
    <w:p w14:paraId="1D240B5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p>
    <w:p w14:paraId="666C5BA4">
      <w:pPr>
        <w:pStyle w:val="3"/>
        <w:outlineLvl w:val="0"/>
        <w:rPr>
          <w:rFonts w:hint="eastAsia"/>
        </w:rPr>
      </w:pPr>
      <w:bookmarkStart w:id="23" w:name="_Toc30820"/>
      <w:bookmarkStart w:id="24" w:name="_Toc10738"/>
      <w:bookmarkStart w:id="25" w:name="_Toc24639"/>
      <w:bookmarkStart w:id="26" w:name="_Toc12931"/>
      <w:bookmarkStart w:id="27" w:name="_Toc25350"/>
      <w:bookmarkStart w:id="28" w:name="_Toc24121"/>
      <w:bookmarkStart w:id="29" w:name="_Toc15782"/>
      <w:r>
        <w:rPr>
          <w:rFonts w:hint="eastAsia"/>
        </w:rPr>
        <w:t>第二章</w:t>
      </w:r>
      <w:r>
        <w:rPr>
          <w:rFonts w:hint="eastAsia"/>
          <w:lang w:val="en-US" w:eastAsia="zh-CN"/>
        </w:rPr>
        <w:t xml:space="preserve"> </w:t>
      </w:r>
      <w:r>
        <w:rPr>
          <w:rFonts w:hint="eastAsia"/>
        </w:rPr>
        <w:t xml:space="preserve"> 就业创业政策</w:t>
      </w:r>
      <w:bookmarkEnd w:id="23"/>
      <w:bookmarkEnd w:id="24"/>
      <w:bookmarkEnd w:id="25"/>
      <w:bookmarkEnd w:id="26"/>
      <w:bookmarkEnd w:id="27"/>
      <w:bookmarkEnd w:id="28"/>
      <w:bookmarkEnd w:id="29"/>
    </w:p>
    <w:p w14:paraId="2AA9D840">
      <w:pPr>
        <w:rPr>
          <w:rFonts w:hint="eastAsia"/>
        </w:rPr>
      </w:pPr>
    </w:p>
    <w:p w14:paraId="42113A4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毕业生在国家就业创业方针政策指导下，实行“学校推荐，学生和用人单位双向选择，鼓励学生自主择业、自主创业”的就业创业工作机制，努力实现毕业生高质量充分就业、主动创业。</w:t>
      </w:r>
    </w:p>
    <w:p w14:paraId="38EC9DA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优先推荐原则。优先向用人单位推荐省级、校级优秀毕业生、获得各类技能大赛奖项的毕业生、家庭经济困难的毕业生、退役士兵毕业生就业。对毕业时未落实就业单位的此类毕业生，学院将长期跟踪服务、推荐就业岗位，允许跨届推荐，直至就业。</w:t>
      </w:r>
    </w:p>
    <w:p w14:paraId="6D40A65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第四条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强化就业优先政策。积极开展访企拓岗工作，努力拓宽毕业生就业渠道，鼓励、引导毕业生到基层、到艰苦行业建功立业。</w:t>
      </w:r>
    </w:p>
    <w:p w14:paraId="4BCE915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第五条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支持毕业生自主创业。凡毕业生自主创业、从事个体经营的，享受国家规定的工商管理、税收等优惠政策。在劳动部门进行失业登记的未就业高校毕业生，按政策发放就业补贴，到县级以下基层创业的高校毕业生可以按国家有关规定申办小额贷款。</w:t>
      </w:r>
    </w:p>
    <w:p w14:paraId="21D1E64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 </w:t>
      </w:r>
    </w:p>
    <w:p w14:paraId="7E89B072">
      <w:pPr>
        <w:pStyle w:val="3"/>
        <w:outlineLvl w:val="0"/>
        <w:rPr>
          <w:rFonts w:hint="eastAsia"/>
        </w:rPr>
      </w:pPr>
      <w:bookmarkStart w:id="30" w:name="_Toc4337"/>
      <w:bookmarkStart w:id="31" w:name="_Toc12876"/>
      <w:bookmarkStart w:id="32" w:name="_Toc31369"/>
      <w:bookmarkStart w:id="33" w:name="_Toc28548"/>
      <w:bookmarkStart w:id="34" w:name="_Toc20385"/>
      <w:bookmarkStart w:id="35" w:name="_Toc19102"/>
      <w:bookmarkStart w:id="36" w:name="_Toc30106"/>
      <w:r>
        <w:rPr>
          <w:rFonts w:hint="eastAsia"/>
        </w:rPr>
        <w:t xml:space="preserve">第三章 </w:t>
      </w:r>
      <w:r>
        <w:rPr>
          <w:rFonts w:hint="eastAsia"/>
          <w:lang w:val="en-US" w:eastAsia="zh-CN"/>
        </w:rPr>
        <w:t xml:space="preserve"> </w:t>
      </w:r>
      <w:r>
        <w:rPr>
          <w:rFonts w:hint="eastAsia"/>
        </w:rPr>
        <w:t>就业创业指导</w:t>
      </w:r>
      <w:bookmarkEnd w:id="30"/>
      <w:bookmarkEnd w:id="31"/>
      <w:bookmarkEnd w:id="32"/>
      <w:bookmarkEnd w:id="33"/>
      <w:bookmarkEnd w:id="34"/>
      <w:bookmarkEnd w:id="35"/>
      <w:bookmarkEnd w:id="36"/>
    </w:p>
    <w:p w14:paraId="71F1538E">
      <w:pPr>
        <w:rPr>
          <w:rFonts w:hint="eastAsia"/>
        </w:rPr>
      </w:pPr>
    </w:p>
    <w:p w14:paraId="13C9D72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第六条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学生处（招生就业办公室）是学院大学生就业创业的综合管理部门，负责制定大学生就业创业制度，统筹协调学院学生就业创业指导工作。负责学工人员就业创业指导能力的培训。</w:t>
      </w:r>
    </w:p>
    <w:p w14:paraId="35BA5AE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第七条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思政教育部负责学院大学生就业创业的理论教学和实践教学工作，并指导相关教师从事理论与政策的研究。负责组织实施学院大学生职业规划大赛，指导学生参加上级主管部门组织的相关赛事活动。</w:t>
      </w:r>
    </w:p>
    <w:p w14:paraId="4FBF644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第八条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各系要切实做好就业创业指导工作，认真准确地宣传国家的就业政策和具体规定，引导毕业生树立正确的职业观、就业观和择业观，并根据实际情况组织开展就业咨询、模拟招聘会等形式多样的毕业生就业指导。积极为毕业生提供创业政策咨询，提供必要的便利条件。</w:t>
      </w:r>
    </w:p>
    <w:p w14:paraId="0081A7E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第九条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各系主任、党总支书记、辅导员要分层次开展在校学生（特别是毕业班学生）的就业观念教育。加强毕业生的就业指导工作，指导毕业生准备就业自荐材料、制作简历，对毕业生进行面试技巧的指导和心理疏导等。</w:t>
      </w:r>
    </w:p>
    <w:p w14:paraId="6200D93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 </w:t>
      </w:r>
    </w:p>
    <w:p w14:paraId="3D2D9C57">
      <w:pPr>
        <w:pStyle w:val="3"/>
        <w:outlineLvl w:val="0"/>
        <w:rPr>
          <w:rFonts w:hint="eastAsia"/>
        </w:rPr>
      </w:pPr>
      <w:bookmarkStart w:id="37" w:name="_Toc26909"/>
      <w:bookmarkStart w:id="38" w:name="_Toc12646"/>
      <w:bookmarkStart w:id="39" w:name="_Toc12538"/>
      <w:bookmarkStart w:id="40" w:name="_Toc18050"/>
      <w:bookmarkStart w:id="41" w:name="_Toc13939"/>
      <w:bookmarkStart w:id="42" w:name="_Toc13098"/>
      <w:bookmarkStart w:id="43" w:name="_Toc2034"/>
      <w:r>
        <w:rPr>
          <w:rFonts w:hint="eastAsia"/>
        </w:rPr>
        <w:t xml:space="preserve">第四章 </w:t>
      </w:r>
      <w:r>
        <w:rPr>
          <w:rFonts w:hint="eastAsia"/>
          <w:lang w:val="en-US" w:eastAsia="zh-CN"/>
        </w:rPr>
        <w:t xml:space="preserve"> </w:t>
      </w:r>
      <w:r>
        <w:rPr>
          <w:rFonts w:hint="eastAsia"/>
        </w:rPr>
        <w:t>就业管理</w:t>
      </w:r>
      <w:bookmarkEnd w:id="37"/>
      <w:bookmarkEnd w:id="38"/>
      <w:bookmarkEnd w:id="39"/>
      <w:bookmarkEnd w:id="40"/>
      <w:bookmarkEnd w:id="41"/>
      <w:bookmarkEnd w:id="42"/>
      <w:bookmarkEnd w:id="43"/>
    </w:p>
    <w:p w14:paraId="58BB6DB8">
      <w:pPr>
        <w:rPr>
          <w:rFonts w:hint="eastAsia"/>
        </w:rPr>
      </w:pPr>
    </w:p>
    <w:p w14:paraId="0FF1EF9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就业创业经费。按照教育部有关规定，学院从当年所收学费中按不低于1%的比例计提就业创业专项经费。按学院财务管理有关规定根据毕业生人数划拨至学生处和学生所在系部。</w:t>
      </w:r>
    </w:p>
    <w:p w14:paraId="3EA74F4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第十一条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签约管理。毕业生就业协议一律通过“安徽省大学生就业服务平台”微信小程序进行网上签订。具体规定如下：</w:t>
      </w:r>
    </w:p>
    <w:p w14:paraId="4572E08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毕业生和用人单位通过双向选择达成就业意向后，通过“安徽省大学生就业服务平台”微信小程序网签就业协议书，毕业生须如实、准确、完整地填写协议有关内容，学院根据就业系统中的毕业生去向登记情况编制毕业生就业去向方案。</w:t>
      </w:r>
    </w:p>
    <w:p w14:paraId="63BEDAD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2.辅导员在线完成毕业生就业去向初审，审核毕业生所填内容的完整性、真实性和有效性。学生处（招生就业办公室）终审后报安徽省大中专毕业生就业指导中心备案。</w:t>
      </w:r>
    </w:p>
    <w:p w14:paraId="0687304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3.毕业生在网签系统内走完流程即视为签约完成，可根据需要自行打印纸质协议书，分别由用人单位、毕业生、学生处（招生就业办公室）签署意见或签章。</w:t>
      </w:r>
    </w:p>
    <w:p w14:paraId="72D8DAA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毕业生要结合个人职业规划，积极参加校园招聘会。被多家企业同时录用者，慎重选择其中一家单位签约。毕业生因个人原因，提出解除就业协议的，需取得用人单位的书面谅解，终止应聘。为体现就业资源公平享用的原则，网签生效后，视为就业需求双方达成协议，违约者须自行承担违约责任，且学院将不对违约者进行二次推荐。</w:t>
      </w:r>
    </w:p>
    <w:p w14:paraId="4C147F7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5.违约管理。</w:t>
      </w:r>
    </w:p>
    <w:p w14:paraId="452A278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①毕业生已签订就业协议，另行与其他单位达成就业意向，需要重新签订就业协议书，或因升学、参军等原因需要解除就业协议，均视为违约。</w:t>
      </w:r>
    </w:p>
    <w:p w14:paraId="63F6F64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②毕业生违约要由本人提出申请，持原接收单位出具的同意解除协议的书面证明，上传就业系统，经学生处（招生就业办公室）审核同意后，方能与其他单位重新签订就业协议书或变更去向登记信息；违约者应承担相应的违约责任，如违约金、培训成本等。</w:t>
      </w:r>
    </w:p>
    <w:p w14:paraId="71D7C6F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③已签订就业协议的毕业生考取专升本后，应及时告知签订就业协议的用人单位，并在学生处（招生就业办公室）登记，以备调整档案转寄方案。</w:t>
      </w:r>
    </w:p>
    <w:p w14:paraId="7A46643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④毕业生签订就业协议后参军入伍或考取国家公务员，经与用人单位协商，报经省大中专毕业生就业指导中心同意后，终止已签订的就业协议。</w:t>
      </w:r>
    </w:p>
    <w:p w14:paraId="0D1E7F7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6.毕业离校时仍未落实就业单位的毕业生，在毕业当年年底前落实就业单位的，须及时开具工作证明，经所在系交至学生处（招生就业办公室），以便及时办理相关手续。</w:t>
      </w:r>
    </w:p>
    <w:p w14:paraId="06CB5D9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   </w:t>
      </w:r>
    </w:p>
    <w:p w14:paraId="7EA697CC">
      <w:pPr>
        <w:pStyle w:val="3"/>
        <w:outlineLvl w:val="0"/>
        <w:rPr>
          <w:rFonts w:hint="eastAsia"/>
        </w:rPr>
      </w:pPr>
      <w:bookmarkStart w:id="44" w:name="_Toc7342"/>
      <w:bookmarkStart w:id="45" w:name="_Toc9567"/>
      <w:bookmarkStart w:id="46" w:name="_Toc17934"/>
      <w:bookmarkStart w:id="47" w:name="_Toc7938"/>
      <w:bookmarkStart w:id="48" w:name="_Toc22162"/>
      <w:bookmarkStart w:id="49" w:name="_Toc27417"/>
      <w:bookmarkStart w:id="50" w:name="_Toc5367"/>
      <w:r>
        <w:rPr>
          <w:rFonts w:hint="eastAsia"/>
        </w:rPr>
        <w:t xml:space="preserve">第五章 </w:t>
      </w:r>
      <w:r>
        <w:rPr>
          <w:rFonts w:hint="eastAsia"/>
          <w:lang w:val="en-US" w:eastAsia="zh-CN"/>
        </w:rPr>
        <w:t xml:space="preserve"> </w:t>
      </w:r>
      <w:r>
        <w:rPr>
          <w:rFonts w:hint="eastAsia"/>
        </w:rPr>
        <w:t>就业程序</w:t>
      </w:r>
      <w:bookmarkEnd w:id="44"/>
      <w:bookmarkEnd w:id="45"/>
      <w:bookmarkEnd w:id="46"/>
      <w:bookmarkEnd w:id="47"/>
      <w:bookmarkEnd w:id="48"/>
      <w:bookmarkEnd w:id="49"/>
      <w:bookmarkEnd w:id="50"/>
    </w:p>
    <w:p w14:paraId="366F8A68">
      <w:pPr>
        <w:rPr>
          <w:rFonts w:hint="eastAsia"/>
        </w:rPr>
      </w:pPr>
    </w:p>
    <w:p w14:paraId="1D7C010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第十二条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毕业生生源地审核。正常情况下，高校毕业生的生源地是指毕业生在高中毕业、大学录取之前的户籍所在地，即毕业生入学前的家庭户口所在地。特殊情况下，是指生源变更，某省市生源毕业生在校就读期间，其父母双方或一方的户口由一省市迁到另一省市，属于生源变更。毕业生若入学后因父母工作变动而家庭地址变更者，由新址户口所在地派出所出具父母户籍证明，可以将毕业生家庭所在地的新址作为毕业生的生源地。由学生处（招生就业办公室）统计、系部配合，共同审核完成。</w:t>
      </w:r>
    </w:p>
    <w:p w14:paraId="3F840E8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第十三条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就业信息收集与发布。学生处（招生就业办公室）和各系收集用人单位毕业生需求信息，并通过一定的途径向毕业生发布。毕业生应主动地通过以下各种渠道获取就业信息：学生处（招生就业办公室）、毕业生所在系、学院招生就业网、学院招生就业微信公众号及其他相关人才招聘网站、教育厅组织的就业市场、社会和各高校举办的毕业生就业市场和各类双选招聘活动等多种途径。</w:t>
      </w:r>
    </w:p>
    <w:p w14:paraId="1FBC119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第十四条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就业招聘会。学院每年根据用人单位就业需求组织召开就业专场招聘会或综合双选会，毕业生应主动参加学院和系部组织的招聘会、社会或其他高校举办的人才市场活动，寻求就业机会。</w:t>
      </w:r>
    </w:p>
    <w:p w14:paraId="5B51272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第十五条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签订就业协议。招聘会结束，经企业核准、学生处（招生就业办公室）审核，毕业生与用人单位即可网签就业协议书或提供就业证明函，并按规定办理相应的手续。</w:t>
      </w:r>
    </w:p>
    <w:p w14:paraId="0E24828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第十六条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建立毕业去向登记制度。建立高校毕业生毕业去向登记制度是高校为毕业生办理离校手续的必要环节。学生处（招生就业办公室）、系部辅导员指导毕业生（含结业生）及时完成毕业去向登记，核实信息后及时报省级教育部门备案。定向培养毕业生严格按照定向培养协议就业、网签就业协议，并登记去向信息。</w:t>
      </w:r>
    </w:p>
    <w:p w14:paraId="1A3C67B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第十七条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就业跟踪。毕业生所在系部和辅导员须在毕业生毕业当年年底前对毕业时未就业毕业生进行实时跟踪，了解毕业生就业进程，向毕业生推送就业信息，收集就业证明函，汇总报至学生处（招生就业办公室）。</w:t>
      </w:r>
    </w:p>
    <w:p w14:paraId="342375E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p>
    <w:p w14:paraId="2E7A21E4">
      <w:pPr>
        <w:pStyle w:val="3"/>
        <w:outlineLvl w:val="0"/>
        <w:rPr>
          <w:rFonts w:hint="eastAsia"/>
        </w:rPr>
      </w:pPr>
      <w:bookmarkStart w:id="51" w:name="_Toc22242"/>
      <w:bookmarkStart w:id="52" w:name="_Toc26656"/>
      <w:bookmarkStart w:id="53" w:name="_Toc25367"/>
      <w:bookmarkStart w:id="54" w:name="_Toc17835"/>
      <w:bookmarkStart w:id="55" w:name="_Toc30204"/>
      <w:bookmarkStart w:id="56" w:name="_Toc14583"/>
      <w:bookmarkStart w:id="57" w:name="_Toc30462"/>
      <w:r>
        <w:rPr>
          <w:rFonts w:hint="eastAsia"/>
        </w:rPr>
        <w:t xml:space="preserve">第六章 </w:t>
      </w:r>
      <w:r>
        <w:rPr>
          <w:rFonts w:hint="eastAsia"/>
          <w:lang w:val="en-US" w:eastAsia="zh-CN"/>
        </w:rPr>
        <w:t xml:space="preserve"> </w:t>
      </w:r>
      <w:r>
        <w:rPr>
          <w:rFonts w:hint="eastAsia"/>
        </w:rPr>
        <w:t>就业档案管理</w:t>
      </w:r>
      <w:bookmarkEnd w:id="51"/>
      <w:bookmarkEnd w:id="52"/>
      <w:bookmarkEnd w:id="53"/>
      <w:bookmarkEnd w:id="54"/>
      <w:bookmarkEnd w:id="55"/>
      <w:bookmarkEnd w:id="56"/>
      <w:bookmarkEnd w:id="57"/>
    </w:p>
    <w:p w14:paraId="6A5F16BA">
      <w:pPr>
        <w:rPr>
          <w:rFonts w:hint="eastAsia"/>
        </w:rPr>
      </w:pPr>
    </w:p>
    <w:p w14:paraId="146F51E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第十八条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就业档案主要包括毕业生档案、就业协议、用人单位招聘材料、教育部、省教育厅及其他主管部门下发的关于就业方面的文件、就业管理规定以及在就业工作活动中形成的各种材料。</w:t>
      </w:r>
    </w:p>
    <w:p w14:paraId="3815254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第十九条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学生处（招生就业办公室）是就业档案管理的归口管理部门，负责收集有关就业文件和材料，并汇总、整理和归档，部分资料可交由系部留存。</w:t>
      </w:r>
    </w:p>
    <w:p w14:paraId="3C0A5C2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1.教育部、省教育厅及其他主管部门下发的关于就业方面的文件由院办转发至学生处的由学生处留存备案，学生处转发至各系部的由各系部留存备案。</w:t>
      </w:r>
    </w:p>
    <w:p w14:paraId="7F8D122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2.《学生岗位实习三方协议》由学生处统一印制下发各系部，学校、学生和单位签署后返回学校一份，交由系部作为顶岗实习教学文件统一保管。</w:t>
      </w:r>
    </w:p>
    <w:p w14:paraId="1409927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3.《就业协议书》网签后，如单位需要纸质协议，由学生自行打印后交学生处盖章。</w:t>
      </w:r>
    </w:p>
    <w:p w14:paraId="59EA667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用人单位招聘材料、学院就业管理规定、学院就业方案、学院就业总结以及院级层面在就业工作活动中形成的各种材料由就业办统一制定并留存。各系部自行组织的招聘活动、就业意向摸排台账和困难生帮扶台账以及系部层面在就业工作活动中形成的各种材料由系部自行留存备案。</w:t>
      </w:r>
    </w:p>
    <w:p w14:paraId="21A4A9F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毕业生档案必须统一由学生处档案室集中统一管理。系部辅导员在新生入校三个月内，协助档案室完成新生入学资格审查工作，并将学生档案统一归档交由学生处档案室集中统一管理，确保完整、准确和安全。在毕业生毕业离校前一个月，学生处档案室完成毕业生档案归档整理工作，及时查缺不漏，确保毕业生去向登记和档案转寄工作顺利进行。</w:t>
      </w:r>
    </w:p>
    <w:p w14:paraId="0ECF338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第二十一条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毕业生档案归档的重点是入学登记表、毕业生登记表、成绩单、身份证复印件、毕业生在校期间的奖惩记录相关文件、党团组织发展情况以及在学籍管理过程中形成的各类材料。其中党团组织材料可由团委和党建部单独建立，按党团组织关系转移相关规定进行转递。</w:t>
      </w:r>
    </w:p>
    <w:p w14:paraId="737D96F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第二十二条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完善转递档案制度。毕业生通过“安徽省大学生就业服务平台”和“大学生毕业去向登记平台”填报就业去向和档案转递地址。学生处档案室及时将毕业生登记表、成绩单等重要材料归入学生档案，按照有关规定有序转递。</w:t>
      </w:r>
    </w:p>
    <w:p w14:paraId="0843E70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1.到机关、国有企事业单位就业或定向招生就业的，转递至就业单位或定向单位；</w:t>
      </w:r>
    </w:p>
    <w:p w14:paraId="1D24BD4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2.到非公单位就业的，转递至就业地或户籍地公共就业人才服务机构；</w:t>
      </w:r>
    </w:p>
    <w:p w14:paraId="6A611F4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3.暂未就业的，转递至户籍地公共就业人才服务机构。</w:t>
      </w:r>
    </w:p>
    <w:p w14:paraId="1765F4D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4.档案切忌不能私人保管或自带！不能填写自己为收件人转寄家庭所在地。档案转递至公共就业人才服务机构（即区县人才交流中心）前，建议先查看当地公共就业人才服务机构相关规定后办理手续。</w:t>
      </w:r>
    </w:p>
    <w:p w14:paraId="2CD65B4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p>
    <w:p w14:paraId="7863F77B">
      <w:pPr>
        <w:pStyle w:val="3"/>
        <w:outlineLvl w:val="0"/>
        <w:rPr>
          <w:rFonts w:hint="eastAsia"/>
        </w:rPr>
      </w:pPr>
      <w:bookmarkStart w:id="58" w:name="_Toc8586"/>
      <w:bookmarkStart w:id="59" w:name="_Toc24779"/>
      <w:bookmarkStart w:id="60" w:name="_Toc10440"/>
      <w:bookmarkStart w:id="61" w:name="_Toc14566"/>
      <w:bookmarkStart w:id="62" w:name="_Toc27028"/>
      <w:bookmarkStart w:id="63" w:name="_Toc20091"/>
      <w:bookmarkStart w:id="64" w:name="_Toc20904"/>
      <w:r>
        <w:rPr>
          <w:rFonts w:hint="eastAsia"/>
        </w:rPr>
        <w:t xml:space="preserve">第七章 </w:t>
      </w:r>
      <w:r>
        <w:rPr>
          <w:rFonts w:hint="eastAsia"/>
          <w:lang w:val="en-US" w:eastAsia="zh-CN"/>
        </w:rPr>
        <w:t xml:space="preserve"> </w:t>
      </w:r>
      <w:r>
        <w:rPr>
          <w:rFonts w:hint="eastAsia"/>
        </w:rPr>
        <w:t>组织机构与职责</w:t>
      </w:r>
      <w:bookmarkEnd w:id="58"/>
      <w:bookmarkEnd w:id="59"/>
      <w:bookmarkEnd w:id="60"/>
      <w:bookmarkEnd w:id="61"/>
      <w:bookmarkEnd w:id="62"/>
      <w:bookmarkEnd w:id="63"/>
      <w:bookmarkEnd w:id="64"/>
    </w:p>
    <w:p w14:paraId="47E8D86E">
      <w:pPr>
        <w:rPr>
          <w:rFonts w:hint="eastAsia"/>
        </w:rPr>
      </w:pPr>
    </w:p>
    <w:p w14:paraId="32A06B9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第二十三条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学院成立毕业生就业工作领导小组，就业领导小组由学院院长任组长，分管就业工作的副院长任副组长，有关部门负责人为成员，全面领导、协调学院毕业生就业工作。领导小组办公室设在学生处（招生就业办公室），具体负责毕业生就业工作。</w:t>
      </w:r>
    </w:p>
    <w:p w14:paraId="5DBBCA3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第二十四条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各系成立以系部主任为组长，党总支书记（副主任）为副组长的毕业生就业工作小组，具体组织实施、检查督促、指导本系毕业生就业工作。</w:t>
      </w:r>
    </w:p>
    <w:p w14:paraId="57947FB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第二十五条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学生处（招生就业办公室）就业创业工作主要职责：</w:t>
      </w:r>
    </w:p>
    <w:p w14:paraId="26B2637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1.对毕业生进行就业创业政策指导，及时向毕业生传达国家、省市及相关部门的就业创业政策；</w:t>
      </w:r>
    </w:p>
    <w:p w14:paraId="50697B9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2.建立毕业生就业创业网站、微信公众号等，及时为企业和毕业生提供就业创业信息发布、查询等服务；</w:t>
      </w:r>
    </w:p>
    <w:p w14:paraId="3D955E5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3.负责组织举办学院层面毕业生就业招聘会；</w:t>
      </w:r>
    </w:p>
    <w:p w14:paraId="25BF5AB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4.做好毕业生资格审查，制定年度就业计划和方案，并组织实施或督促落实。</w:t>
      </w:r>
    </w:p>
    <w:p w14:paraId="180E531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5.负责指导各系做好毕业生去向登记和毕业生档案的建立与审核工作，并负责毕业生档案的转寄工作；</w:t>
      </w:r>
    </w:p>
    <w:p w14:paraId="023590E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6.负责毕业生就业数据的收集、统计、上报和毕业生就业创业工作的总结与检查考核；</w:t>
      </w:r>
    </w:p>
    <w:p w14:paraId="0D49AF0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7.负责编制发布年度毕业生就业质量报告。</w:t>
      </w:r>
    </w:p>
    <w:p w14:paraId="01CEF1E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第二十六条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系部毕业生就业工作小组的主要职责：</w:t>
      </w:r>
    </w:p>
    <w:p w14:paraId="63FAF55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1.负责宣传贯彻国家就业创业政策，并做好毕业生的就业创业教育；</w:t>
      </w:r>
    </w:p>
    <w:p w14:paraId="5887F4C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2.协助学生处（招生就业办公室）举办毕业生就业招聘会或按要求承办相关专业的专场招聘会，负责组织毕业生参加招聘会；</w:t>
      </w:r>
    </w:p>
    <w:p w14:paraId="55CA4A3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3.组织开展毕业生思想状况调查，掌握毕业生求职意向，建立就业意向摸排台账和困难生帮扶台账，有针对性地开展就业创业指导工作；</w:t>
      </w:r>
    </w:p>
    <w:p w14:paraId="6BEBC2B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4.积极开展系部、专业层面的访企拓岗工作，开拓毕业生就业市场；</w:t>
      </w:r>
    </w:p>
    <w:p w14:paraId="3F8DE74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5.指导毕业生网签就业协议书，负责网签协议初审、就业资料上报工作；</w:t>
      </w:r>
    </w:p>
    <w:p w14:paraId="4E26026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6.负责本系毕业生就业数据和就业工作材料的收集、审核和上报；</w:t>
      </w:r>
    </w:p>
    <w:p w14:paraId="06DBC2E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7.积极参与或组织开展做好毕业生跟踪调查。</w:t>
      </w:r>
    </w:p>
    <w:p w14:paraId="5E311CC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第二十七条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学院每年定期召开学院毕业生就业工作专题会议。</w:t>
      </w:r>
    </w:p>
    <w:p w14:paraId="5CC51D1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第二十八条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学院与学生处（招生就业办公室）、各专业系部签订年度就业考核目标责任书，毕业生就业工作纳入部门年度绩效考核。</w:t>
      </w:r>
    </w:p>
    <w:p w14:paraId="0C6D8E4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 </w:t>
      </w:r>
    </w:p>
    <w:p w14:paraId="7DA85729">
      <w:pPr>
        <w:pStyle w:val="3"/>
        <w:outlineLvl w:val="0"/>
        <w:rPr>
          <w:rFonts w:hint="eastAsia"/>
        </w:rPr>
      </w:pPr>
      <w:bookmarkStart w:id="65" w:name="_Toc8568"/>
      <w:bookmarkStart w:id="66" w:name="_Toc32117"/>
      <w:bookmarkStart w:id="67" w:name="_Toc17563"/>
      <w:bookmarkStart w:id="68" w:name="_Toc136"/>
      <w:bookmarkStart w:id="69" w:name="_Toc919"/>
      <w:bookmarkStart w:id="70" w:name="_Toc2103"/>
      <w:bookmarkStart w:id="71" w:name="_Toc19308"/>
      <w:r>
        <w:rPr>
          <w:rFonts w:hint="eastAsia"/>
        </w:rPr>
        <w:t>第</w:t>
      </w:r>
      <w:r>
        <w:rPr>
          <w:rFonts w:hint="eastAsia"/>
          <w:lang w:eastAsia="zh-CN"/>
        </w:rPr>
        <w:t>八</w:t>
      </w:r>
      <w:r>
        <w:rPr>
          <w:rFonts w:hint="eastAsia"/>
        </w:rPr>
        <w:t>章</w:t>
      </w:r>
      <w:r>
        <w:rPr>
          <w:rFonts w:hint="eastAsia"/>
          <w:lang w:val="en-US" w:eastAsia="zh-CN"/>
        </w:rPr>
        <w:t xml:space="preserve"> </w:t>
      </w:r>
      <w:r>
        <w:rPr>
          <w:rFonts w:hint="eastAsia"/>
        </w:rPr>
        <w:t xml:space="preserve"> 附 则</w:t>
      </w:r>
      <w:bookmarkEnd w:id="65"/>
      <w:bookmarkEnd w:id="66"/>
      <w:bookmarkEnd w:id="67"/>
      <w:bookmarkEnd w:id="68"/>
      <w:bookmarkEnd w:id="69"/>
      <w:bookmarkEnd w:id="70"/>
      <w:bookmarkEnd w:id="71"/>
    </w:p>
    <w:p w14:paraId="4A5F577F">
      <w:pPr>
        <w:rPr>
          <w:rFonts w:hint="eastAsia"/>
        </w:rPr>
      </w:pPr>
    </w:p>
    <w:p w14:paraId="323703A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第二十九条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本规定如与上级主管部门发布的最新政策和规定不一致，按上级主管部门政策和规定执行。</w:t>
      </w:r>
    </w:p>
    <w:p w14:paraId="1DCC64A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outlineLvl w:val="9"/>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b/>
          <w:bCs/>
          <w:sz w:val="21"/>
          <w:szCs w:val="21"/>
        </w:rPr>
        <w:t>第三十条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本规定从2024年1月1日起</w:t>
      </w:r>
      <w:r>
        <w:rPr>
          <w:rFonts w:hint="eastAsia" w:ascii="方正书宋简体" w:hAnsi="方正书宋简体" w:eastAsia="方正书宋简体" w:cs="方正书宋简体"/>
          <w:sz w:val="21"/>
          <w:szCs w:val="21"/>
          <w:lang w:val="en-US" w:eastAsia="zh-CN"/>
        </w:rPr>
        <w:t>施</w:t>
      </w:r>
      <w:r>
        <w:rPr>
          <w:rFonts w:hint="eastAsia" w:ascii="方正书宋简体" w:hAnsi="方正书宋简体" w:eastAsia="方正书宋简体" w:cs="方正书宋简体"/>
          <w:sz w:val="21"/>
          <w:szCs w:val="21"/>
        </w:rPr>
        <w:t>行，原2017年《安徽电气工程职业技术学院就业创业工作管理规定（试行）》废止。</w:t>
      </w:r>
      <w:r>
        <w:rPr>
          <w:rFonts w:hint="eastAsia" w:ascii="方正书宋简体" w:hAnsi="方正书宋简体" w:eastAsia="方正书宋简体" w:cs="方正书宋简体"/>
          <w:sz w:val="21"/>
          <w:szCs w:val="21"/>
          <w:lang w:val="en-US" w:eastAsia="zh-CN"/>
        </w:rPr>
        <w:t>本规定</w:t>
      </w:r>
      <w:r>
        <w:rPr>
          <w:rFonts w:hint="eastAsia" w:ascii="方正书宋简体" w:hAnsi="方正书宋简体" w:eastAsia="方正书宋简体" w:cs="方正书宋简体"/>
          <w:sz w:val="21"/>
          <w:szCs w:val="21"/>
        </w:rPr>
        <w:t>由学生处（招生就业办公室）负责解释</w:t>
      </w:r>
      <w:r>
        <w:rPr>
          <w:rFonts w:hint="eastAsia" w:ascii="方正书宋简体" w:hAnsi="方正书宋简体" w:eastAsia="方正书宋简体" w:cs="方正书宋简体"/>
          <w:sz w:val="21"/>
          <w:szCs w:val="21"/>
          <w:lang w:eastAsia="zh-CN"/>
        </w:rPr>
        <w:t>。</w:t>
      </w:r>
    </w:p>
    <w:p w14:paraId="58D5691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br w:type="page"/>
      </w:r>
    </w:p>
    <w:p w14:paraId="526A957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outlineLvl w:val="0"/>
        <w:rPr>
          <w:rFonts w:hint="eastAsia"/>
          <w:b/>
          <w:bCs/>
          <w:sz w:val="28"/>
          <w:szCs w:val="28"/>
        </w:rPr>
      </w:pPr>
      <w:bookmarkStart w:id="72" w:name="_Toc5162"/>
      <w:bookmarkStart w:id="73" w:name="_Toc25974"/>
      <w:bookmarkStart w:id="74" w:name="_Toc22663"/>
      <w:bookmarkStart w:id="75" w:name="_Toc17373"/>
      <w:bookmarkStart w:id="76" w:name="_Toc15375"/>
      <w:bookmarkStart w:id="77" w:name="_Toc3177"/>
      <w:bookmarkStart w:id="78" w:name="_Toc4957"/>
      <w:r>
        <w:rPr>
          <w:rFonts w:hint="eastAsia"/>
          <w:b/>
          <w:bCs/>
          <w:sz w:val="28"/>
          <w:szCs w:val="28"/>
        </w:rPr>
        <w:t>安徽电气工程职业技术学院毕业生就业流程图</w:t>
      </w:r>
      <w:bookmarkEnd w:id="72"/>
      <w:bookmarkEnd w:id="73"/>
      <w:bookmarkEnd w:id="74"/>
      <w:bookmarkEnd w:id="75"/>
      <w:bookmarkEnd w:id="76"/>
      <w:bookmarkEnd w:id="77"/>
      <w:bookmarkEnd w:id="78"/>
    </w:p>
    <w:p w14:paraId="5BDD55EC">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outlineLvl w:val="9"/>
        <w:rPr>
          <w:rFonts w:hint="eastAsia"/>
          <w:b/>
          <w:bCs/>
          <w:sz w:val="28"/>
          <w:szCs w:val="28"/>
        </w:rPr>
      </w:pPr>
    </w:p>
    <w:p w14:paraId="1C8177FB">
      <w:pPr>
        <w:pageBreakBefore w:val="0"/>
        <w:overflowPunct/>
        <w:topLinePunct w:val="0"/>
        <w:bidi w:val="0"/>
        <w:adjustRightInd w:val="0"/>
        <w:snapToGrid w:val="0"/>
        <w:spacing w:line="240" w:lineRule="auto"/>
        <w:ind w:left="0" w:leftChars="0" w:right="0" w:firstLine="0" w:firstLineChars="0"/>
        <w:jc w:val="center"/>
        <w:outlineLvl w:val="9"/>
        <w:rPr>
          <w:rFonts w:hint="eastAsia" w:ascii="方正书宋简体" w:hAnsi="方正书宋简体" w:eastAsia="方正书宋简体" w:cs="方正书宋简体"/>
          <w:b w:val="0"/>
          <w:bCs/>
          <w:sz w:val="21"/>
          <w:szCs w:val="21"/>
          <w:lang w:val="en-US" w:eastAsia="zh-CN"/>
        </w:rPr>
      </w:pPr>
      <w:r>
        <w:rPr>
          <w:rFonts w:hint="eastAsia" w:eastAsia="宋体"/>
          <w:b/>
          <w:bCs/>
          <w:sz w:val="28"/>
          <w:szCs w:val="28"/>
          <w:lang w:eastAsia="zh-CN"/>
        </w:rPr>
        <w:drawing>
          <wp:inline distT="0" distB="0" distL="114300" distR="114300">
            <wp:extent cx="3234690" cy="5193665"/>
            <wp:effectExtent l="0" t="0" r="3810" b="6985"/>
            <wp:docPr id="14" name="图片 14" descr="3 安徽电气工程职业技术学院就业创业工作管理规定（修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 安徽电气工程职业技术学院就业创业工作管理规定（修订）(1)"/>
                    <pic:cNvPicPr>
                      <a:picLocks noChangeAspect="1"/>
                    </pic:cNvPicPr>
                  </pic:nvPicPr>
                  <pic:blipFill>
                    <a:blip r:embed="rId6"/>
                    <a:stretch>
                      <a:fillRect/>
                    </a:stretch>
                  </pic:blipFill>
                  <pic:spPr>
                    <a:xfrm>
                      <a:off x="0" y="0"/>
                      <a:ext cx="3234690" cy="5193665"/>
                    </a:xfrm>
                    <a:prstGeom prst="rect">
                      <a:avLst/>
                    </a:prstGeom>
                  </pic:spPr>
                </pic:pic>
              </a:graphicData>
            </a:graphic>
          </wp:inline>
        </w:drawing>
      </w:r>
      <w:bookmarkStart w:id="79" w:name="_GoBack"/>
      <w:bookmarkEnd w:id="79"/>
    </w:p>
    <w:sectPr>
      <w:headerReference r:id="rId3" w:type="default"/>
      <w:footerReference r:id="rId4" w:type="default"/>
      <w:pgSz w:w="7937" w:h="11905"/>
      <w:pgMar w:top="1417" w:right="1134" w:bottom="1304" w:left="1134" w:header="850" w:footer="992" w:gutter="0"/>
      <w:pgNumType w:fmt="decimal"/>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5D2A">
    <w:pPr>
      <w:spacing w:before="1" w:line="189"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A9DEE">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CA9DEE">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EA5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210"/>
  <w:drawingGridVerticalSpacing w:val="17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ZjgyNDJlMmIxODFkNzNjOGM2MzkyNzg0MjQ3ZjQifQ=="/>
  </w:docVars>
  <w:rsids>
    <w:rsidRoot w:val="00172A27"/>
    <w:rsid w:val="000A4237"/>
    <w:rsid w:val="002C35E0"/>
    <w:rsid w:val="008A6D54"/>
    <w:rsid w:val="00D96B9E"/>
    <w:rsid w:val="00E94B0D"/>
    <w:rsid w:val="00EE6D96"/>
    <w:rsid w:val="01785675"/>
    <w:rsid w:val="02007DFB"/>
    <w:rsid w:val="0209190A"/>
    <w:rsid w:val="022479EC"/>
    <w:rsid w:val="02407670"/>
    <w:rsid w:val="02451546"/>
    <w:rsid w:val="02596A78"/>
    <w:rsid w:val="025B62E0"/>
    <w:rsid w:val="02696283"/>
    <w:rsid w:val="02AF304E"/>
    <w:rsid w:val="034D5B58"/>
    <w:rsid w:val="0432694D"/>
    <w:rsid w:val="04914F16"/>
    <w:rsid w:val="051B13DE"/>
    <w:rsid w:val="05545D15"/>
    <w:rsid w:val="059213A8"/>
    <w:rsid w:val="05A32624"/>
    <w:rsid w:val="06B3208A"/>
    <w:rsid w:val="070D149F"/>
    <w:rsid w:val="071C6236"/>
    <w:rsid w:val="07905B8F"/>
    <w:rsid w:val="07B64236"/>
    <w:rsid w:val="07CC3ABF"/>
    <w:rsid w:val="087F5E7D"/>
    <w:rsid w:val="094D4A62"/>
    <w:rsid w:val="09D92691"/>
    <w:rsid w:val="09EA50CF"/>
    <w:rsid w:val="0A3C1656"/>
    <w:rsid w:val="0A466946"/>
    <w:rsid w:val="0D31160C"/>
    <w:rsid w:val="0D3F1F31"/>
    <w:rsid w:val="0DAD0977"/>
    <w:rsid w:val="0F4A0448"/>
    <w:rsid w:val="0F773AEC"/>
    <w:rsid w:val="0FA25EE9"/>
    <w:rsid w:val="0FA410D2"/>
    <w:rsid w:val="11CE1A42"/>
    <w:rsid w:val="1279575E"/>
    <w:rsid w:val="12E852DF"/>
    <w:rsid w:val="12F72695"/>
    <w:rsid w:val="136F378E"/>
    <w:rsid w:val="13900769"/>
    <w:rsid w:val="13EB2467"/>
    <w:rsid w:val="14363136"/>
    <w:rsid w:val="148E15C6"/>
    <w:rsid w:val="14AA65E4"/>
    <w:rsid w:val="14ED4CB2"/>
    <w:rsid w:val="152542DF"/>
    <w:rsid w:val="15AC1D9E"/>
    <w:rsid w:val="15C063FE"/>
    <w:rsid w:val="15EF6801"/>
    <w:rsid w:val="15F662CE"/>
    <w:rsid w:val="160F623F"/>
    <w:rsid w:val="16252961"/>
    <w:rsid w:val="1633734D"/>
    <w:rsid w:val="16986B5E"/>
    <w:rsid w:val="17435337"/>
    <w:rsid w:val="1743544F"/>
    <w:rsid w:val="178C6A30"/>
    <w:rsid w:val="178F39AF"/>
    <w:rsid w:val="18245CDA"/>
    <w:rsid w:val="18247EA8"/>
    <w:rsid w:val="183E0A52"/>
    <w:rsid w:val="190642A0"/>
    <w:rsid w:val="19436102"/>
    <w:rsid w:val="19532B19"/>
    <w:rsid w:val="1A707A6D"/>
    <w:rsid w:val="1B423649"/>
    <w:rsid w:val="1B6437FD"/>
    <w:rsid w:val="1C7217BC"/>
    <w:rsid w:val="1DA41B2E"/>
    <w:rsid w:val="1DD94587"/>
    <w:rsid w:val="1DDE692B"/>
    <w:rsid w:val="1ECF062D"/>
    <w:rsid w:val="1EE3708C"/>
    <w:rsid w:val="1EE937D9"/>
    <w:rsid w:val="1FA03EF2"/>
    <w:rsid w:val="1FC70D56"/>
    <w:rsid w:val="1FDB78E0"/>
    <w:rsid w:val="20614489"/>
    <w:rsid w:val="20D76C00"/>
    <w:rsid w:val="210C7C53"/>
    <w:rsid w:val="223C6D39"/>
    <w:rsid w:val="229970D3"/>
    <w:rsid w:val="23244C72"/>
    <w:rsid w:val="236751A2"/>
    <w:rsid w:val="239C19FB"/>
    <w:rsid w:val="23B21D9E"/>
    <w:rsid w:val="23C010B4"/>
    <w:rsid w:val="2425685A"/>
    <w:rsid w:val="259A0C86"/>
    <w:rsid w:val="25C518BC"/>
    <w:rsid w:val="26235823"/>
    <w:rsid w:val="26650780"/>
    <w:rsid w:val="269009DE"/>
    <w:rsid w:val="28881351"/>
    <w:rsid w:val="295D5308"/>
    <w:rsid w:val="2A54313A"/>
    <w:rsid w:val="2BBD4024"/>
    <w:rsid w:val="2BDE299C"/>
    <w:rsid w:val="2BFB1CB9"/>
    <w:rsid w:val="2DE21E01"/>
    <w:rsid w:val="2E0F48DF"/>
    <w:rsid w:val="2EF438B3"/>
    <w:rsid w:val="2F1C6C2E"/>
    <w:rsid w:val="30FD421C"/>
    <w:rsid w:val="320F2B2D"/>
    <w:rsid w:val="322545C2"/>
    <w:rsid w:val="331A740D"/>
    <w:rsid w:val="33576264"/>
    <w:rsid w:val="33E60F9C"/>
    <w:rsid w:val="34F4706D"/>
    <w:rsid w:val="35C021DC"/>
    <w:rsid w:val="3640708F"/>
    <w:rsid w:val="36D57583"/>
    <w:rsid w:val="3729700D"/>
    <w:rsid w:val="375F2433"/>
    <w:rsid w:val="38BE5A74"/>
    <w:rsid w:val="3AEB3AA6"/>
    <w:rsid w:val="3AEF063D"/>
    <w:rsid w:val="3AF37C92"/>
    <w:rsid w:val="3B500062"/>
    <w:rsid w:val="3B9203FF"/>
    <w:rsid w:val="3CB45798"/>
    <w:rsid w:val="3CCC2046"/>
    <w:rsid w:val="3CD13B56"/>
    <w:rsid w:val="3CE1686E"/>
    <w:rsid w:val="3CEC4BFF"/>
    <w:rsid w:val="3D9D4A23"/>
    <w:rsid w:val="3DAF675E"/>
    <w:rsid w:val="3E122463"/>
    <w:rsid w:val="3E547165"/>
    <w:rsid w:val="3E7B0B8E"/>
    <w:rsid w:val="3F584CF9"/>
    <w:rsid w:val="3F625608"/>
    <w:rsid w:val="3F8D0FA5"/>
    <w:rsid w:val="3FCF198F"/>
    <w:rsid w:val="40554F9C"/>
    <w:rsid w:val="407E3FDC"/>
    <w:rsid w:val="408C1872"/>
    <w:rsid w:val="40E40C3A"/>
    <w:rsid w:val="41BE244C"/>
    <w:rsid w:val="423B456C"/>
    <w:rsid w:val="431D412A"/>
    <w:rsid w:val="439A14F5"/>
    <w:rsid w:val="440C749E"/>
    <w:rsid w:val="441016A4"/>
    <w:rsid w:val="44134E34"/>
    <w:rsid w:val="455D4659"/>
    <w:rsid w:val="45E26D8B"/>
    <w:rsid w:val="460F05CB"/>
    <w:rsid w:val="46C42CA7"/>
    <w:rsid w:val="47E622AD"/>
    <w:rsid w:val="48641879"/>
    <w:rsid w:val="49C7118E"/>
    <w:rsid w:val="4A323C48"/>
    <w:rsid w:val="4A4E7A5A"/>
    <w:rsid w:val="4AC37F0A"/>
    <w:rsid w:val="4B6C7439"/>
    <w:rsid w:val="4B8007D2"/>
    <w:rsid w:val="4BF00726"/>
    <w:rsid w:val="4D1565FF"/>
    <w:rsid w:val="4D225ECE"/>
    <w:rsid w:val="4D524AEA"/>
    <w:rsid w:val="4D5D17F9"/>
    <w:rsid w:val="4DED6EE6"/>
    <w:rsid w:val="4ED21E89"/>
    <w:rsid w:val="4F596354"/>
    <w:rsid w:val="4FA0418F"/>
    <w:rsid w:val="4FC03563"/>
    <w:rsid w:val="4FE44E23"/>
    <w:rsid w:val="501C51D7"/>
    <w:rsid w:val="51E72C52"/>
    <w:rsid w:val="52572C8C"/>
    <w:rsid w:val="526C5746"/>
    <w:rsid w:val="52F415DE"/>
    <w:rsid w:val="54D057EE"/>
    <w:rsid w:val="57A62B4E"/>
    <w:rsid w:val="57BD2100"/>
    <w:rsid w:val="57EC0DAE"/>
    <w:rsid w:val="598F534E"/>
    <w:rsid w:val="5A037DBC"/>
    <w:rsid w:val="5A086442"/>
    <w:rsid w:val="5A1B7661"/>
    <w:rsid w:val="5A517B3B"/>
    <w:rsid w:val="5B8816A9"/>
    <w:rsid w:val="5B8D78C2"/>
    <w:rsid w:val="5CD02250"/>
    <w:rsid w:val="5CFB03D4"/>
    <w:rsid w:val="5D5F1D58"/>
    <w:rsid w:val="5D712F5B"/>
    <w:rsid w:val="5D9F0F2C"/>
    <w:rsid w:val="5DA15CA9"/>
    <w:rsid w:val="5DFC50BD"/>
    <w:rsid w:val="5E037120"/>
    <w:rsid w:val="5E7A0843"/>
    <w:rsid w:val="5EB26F1F"/>
    <w:rsid w:val="5F0977F9"/>
    <w:rsid w:val="5F6D531F"/>
    <w:rsid w:val="5FC961B6"/>
    <w:rsid w:val="60A73483"/>
    <w:rsid w:val="610905C4"/>
    <w:rsid w:val="61187559"/>
    <w:rsid w:val="6175447D"/>
    <w:rsid w:val="62092E18"/>
    <w:rsid w:val="625C7EED"/>
    <w:rsid w:val="627863A7"/>
    <w:rsid w:val="62BE1E54"/>
    <w:rsid w:val="62C57E82"/>
    <w:rsid w:val="62FC4E08"/>
    <w:rsid w:val="6412273A"/>
    <w:rsid w:val="645E4DB7"/>
    <w:rsid w:val="65A07437"/>
    <w:rsid w:val="65FA13F5"/>
    <w:rsid w:val="66A818DC"/>
    <w:rsid w:val="66F4590A"/>
    <w:rsid w:val="69053F44"/>
    <w:rsid w:val="69913E1E"/>
    <w:rsid w:val="6A333F49"/>
    <w:rsid w:val="6A3F35DF"/>
    <w:rsid w:val="6A64544E"/>
    <w:rsid w:val="6AA50A05"/>
    <w:rsid w:val="6AA82C11"/>
    <w:rsid w:val="6AF32471"/>
    <w:rsid w:val="6B00125C"/>
    <w:rsid w:val="6B321615"/>
    <w:rsid w:val="6B6320BC"/>
    <w:rsid w:val="6BC66ADE"/>
    <w:rsid w:val="6C4B349E"/>
    <w:rsid w:val="6CD77412"/>
    <w:rsid w:val="6CF636CF"/>
    <w:rsid w:val="6D0D79E4"/>
    <w:rsid w:val="6D212EF0"/>
    <w:rsid w:val="6E0F1746"/>
    <w:rsid w:val="6E747592"/>
    <w:rsid w:val="6F6638B2"/>
    <w:rsid w:val="6FC4136C"/>
    <w:rsid w:val="70936542"/>
    <w:rsid w:val="712D52F7"/>
    <w:rsid w:val="714401D0"/>
    <w:rsid w:val="72506497"/>
    <w:rsid w:val="727F515C"/>
    <w:rsid w:val="72BF41EA"/>
    <w:rsid w:val="73430029"/>
    <w:rsid w:val="73D13110"/>
    <w:rsid w:val="746D725E"/>
    <w:rsid w:val="75086353"/>
    <w:rsid w:val="755D199D"/>
    <w:rsid w:val="75A44310"/>
    <w:rsid w:val="7629236B"/>
    <w:rsid w:val="7657019E"/>
    <w:rsid w:val="7850184C"/>
    <w:rsid w:val="789B1485"/>
    <w:rsid w:val="7A3C5C98"/>
    <w:rsid w:val="7A4259A3"/>
    <w:rsid w:val="7AAF2754"/>
    <w:rsid w:val="7B6A3D77"/>
    <w:rsid w:val="7B6D3E0C"/>
    <w:rsid w:val="7B7E1B28"/>
    <w:rsid w:val="7C484A74"/>
    <w:rsid w:val="7C7662DA"/>
    <w:rsid w:val="7D742F87"/>
    <w:rsid w:val="7D887901"/>
    <w:rsid w:val="7DAB5A0B"/>
    <w:rsid w:val="7DB05215"/>
    <w:rsid w:val="7E9B288A"/>
    <w:rsid w:val="7EA64A73"/>
    <w:rsid w:val="7EF127D4"/>
    <w:rsid w:val="7F4A6841"/>
    <w:rsid w:val="7FBC31A1"/>
    <w:rsid w:val="7FC5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00" w:lineRule="exact"/>
      <w:jc w:val="center"/>
      <w:outlineLvl w:val="0"/>
    </w:pPr>
    <w:rPr>
      <w:rFonts w:ascii="Times New Roman" w:hAnsi="Times New Roman" w:eastAsia="方正小标宋_GBK"/>
      <w:bCs/>
      <w:kern w:val="44"/>
      <w:sz w:val="30"/>
      <w:szCs w:val="44"/>
    </w:rPr>
  </w:style>
  <w:style w:type="paragraph" w:styleId="3">
    <w:name w:val="heading 2"/>
    <w:basedOn w:val="1"/>
    <w:next w:val="1"/>
    <w:unhideWhenUsed/>
    <w:qFormat/>
    <w:uiPriority w:val="9"/>
    <w:pPr>
      <w:keepNext/>
      <w:keepLines/>
      <w:spacing w:beforeLines="0" w:beforeAutospacing="0" w:afterLines="0" w:afterAutospacing="0" w:line="400" w:lineRule="exact"/>
      <w:jc w:val="center"/>
      <w:outlineLvl w:val="1"/>
    </w:pPr>
    <w:rPr>
      <w:rFonts w:ascii="Arial" w:hAnsi="Arial" w:eastAsia="方正黑体_GBK"/>
      <w:sz w:val="24"/>
    </w:rPr>
  </w:style>
  <w:style w:type="paragraph" w:styleId="4">
    <w:name w:val="heading 3"/>
    <w:basedOn w:val="1"/>
    <w:next w:val="1"/>
    <w:unhideWhenUsed/>
    <w:qFormat/>
    <w:uiPriority w:val="9"/>
    <w:pPr>
      <w:keepNext/>
      <w:keepLines/>
      <w:spacing w:beforeLines="0" w:beforeAutospacing="0" w:afterLines="0" w:afterAutospacing="0" w:line="400" w:lineRule="exact"/>
      <w:jc w:val="center"/>
      <w:outlineLvl w:val="2"/>
    </w:pPr>
    <w:rPr>
      <w:rFonts w:ascii="Times New Roman" w:hAnsi="Times New Roman" w:eastAsia="方正书宋简体"/>
      <w:b/>
    </w:rPr>
  </w:style>
  <w:style w:type="character" w:default="1" w:styleId="15">
    <w:name w:val="Default Paragraph Font"/>
    <w:link w:val="16"/>
    <w:semiHidden/>
    <w:unhideWhenUsed/>
    <w:qFormat/>
    <w:uiPriority w:val="1"/>
    <w:rPr>
      <w:rFonts w:ascii="Tahoma" w:hAnsi="Tahoma"/>
      <w:sz w:val="24"/>
      <w:szCs w:val="20"/>
    </w:rPr>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Indent"/>
    <w:basedOn w:val="1"/>
    <w:qFormat/>
    <w:uiPriority w:val="0"/>
    <w:pPr>
      <w:spacing w:line="400" w:lineRule="exact"/>
      <w:ind w:firstLine="420" w:firstLineChars="200"/>
    </w:pPr>
    <w:rPr>
      <w:rFonts w:ascii="宋体" w:hAnsi="宋体"/>
      <w:szCs w:val="21"/>
    </w:rPr>
  </w:style>
  <w:style w:type="paragraph" w:styleId="7">
    <w:name w:val="Body Text Indent 2"/>
    <w:basedOn w:val="1"/>
    <w:qFormat/>
    <w:uiPriority w:val="0"/>
    <w:pPr>
      <w:spacing w:line="400" w:lineRule="exact"/>
      <w:ind w:firstLine="473" w:firstLineChars="200"/>
    </w:pPr>
    <w:rPr>
      <w:rFonts w:ascii="宋体" w:hAnsi="宋体"/>
      <w:b/>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w:basedOn w:val="1"/>
    <w:link w:val="15"/>
    <w:qFormat/>
    <w:uiPriority w:val="0"/>
    <w:rPr>
      <w:rFonts w:ascii="Tahoma" w:hAnsi="Tahoma"/>
      <w:sz w:val="24"/>
      <w:szCs w:val="20"/>
    </w:rPr>
  </w:style>
  <w:style w:type="character" w:styleId="17">
    <w:name w:val="Strong"/>
    <w:qFormat/>
    <w:uiPriority w:val="22"/>
    <w:rPr>
      <w:b/>
    </w:rPr>
  </w:style>
  <w:style w:type="character" w:styleId="18">
    <w:name w:val="page number"/>
    <w:basedOn w:val="15"/>
    <w:qFormat/>
    <w:uiPriority w:val="0"/>
  </w:style>
  <w:style w:type="paragraph" w:styleId="19">
    <w:name w:val="List Paragraph"/>
    <w:basedOn w:val="1"/>
    <w:qFormat/>
    <w:uiPriority w:val="34"/>
    <w:pPr>
      <w:ind w:firstLine="420" w:firstLineChars="200"/>
    </w:p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12</Pages>
  <Words>17262</Words>
  <Characters>17355</Characters>
  <Lines>4</Lines>
  <Paragraphs>1</Paragraphs>
  <TotalTime>10</TotalTime>
  <ScaleCrop>false</ScaleCrop>
  <LinksUpToDate>false</LinksUpToDate>
  <CharactersWithSpaces>17937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2017-08-05T04:46:00Z</dcterms:created>
  <dc:creator>PC</dc:creator>
  <cp:lastModifiedBy>一天到晚游泳的鱼</cp:lastModifiedBy>
  <cp:lastPrinted>2023-11-25T01:59:00Z</cp:lastPrinted>
  <dcterms:modified xsi:type="dcterms:W3CDTF">2024-10-25T07:46:21Z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6028BB5E8A504B45A2E522864494CE84_13</vt:lpwstr>
  </property>
</Properties>
</file>